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>
        <w:rPr>
          <w:rFonts w:ascii="TT12o00" w:eastAsia="Times New Roman" w:hAnsi="TT12o00" w:cs="Times New Roman"/>
          <w:color w:val="FF0000"/>
          <w:sz w:val="30"/>
          <w:szCs w:val="30"/>
          <w:lang w:eastAsia="hr-HR"/>
        </w:rPr>
        <w:t>MJERILA VR</w:t>
      </w:r>
      <w:r w:rsidRPr="00AB5AC2">
        <w:rPr>
          <w:rFonts w:ascii="TT12o00" w:eastAsia="Times New Roman" w:hAnsi="TT12o00" w:cs="Times New Roman"/>
          <w:color w:val="FF0000"/>
          <w:sz w:val="30"/>
          <w:szCs w:val="30"/>
          <w:lang w:eastAsia="hr-HR"/>
        </w:rPr>
        <w:t>EDNOVANJA U NASTAVI HRVATSKOGA JEZIKA</w:t>
      </w:r>
      <w:r w:rsidRPr="00AB5AC2">
        <w:rPr>
          <w:rFonts w:ascii="TT12o00" w:eastAsia="Times New Roman" w:hAnsi="TT12o00" w:cs="Times New Roman"/>
          <w:color w:val="FF0000"/>
          <w:sz w:val="30"/>
          <w:szCs w:val="30"/>
          <w:lang w:eastAsia="hr-HR"/>
        </w:rPr>
        <w:br/>
      </w:r>
      <w:r w:rsidRPr="00AB5AC2">
        <w:rPr>
          <w:rFonts w:ascii="TT15o00" w:eastAsia="Times New Roman" w:hAnsi="TT15o00" w:cs="Times New Roman"/>
          <w:b/>
          <w:color w:val="000000"/>
          <w:sz w:val="24"/>
          <w:szCs w:val="24"/>
          <w:lang w:eastAsia="hr-HR"/>
        </w:rPr>
        <w:t>Uvod</w:t>
      </w:r>
    </w:p>
    <w:p w:rsid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Hrvatski jezik predaje se od I. razreda osnovne škole do IV. razreda srednje škole. Ovaj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je prijedlog izrađen za sve sustave odgoja i obrazovanja.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  <w:r w:rsidRPr="00AB5AC2">
        <w:rPr>
          <w:rFonts w:ascii="TT15o00" w:eastAsia="Times New Roman" w:hAnsi="TT15o00" w:cs="Times New Roman"/>
          <w:b/>
          <w:color w:val="000000"/>
          <w:sz w:val="24"/>
          <w:szCs w:val="24"/>
          <w:lang w:eastAsia="hr-HR"/>
        </w:rPr>
        <w:t>Praćenje</w:t>
      </w:r>
      <w:r w:rsidRPr="00AB5AC2">
        <w:rPr>
          <w:rFonts w:ascii="TT15o00" w:eastAsia="Times New Roman" w:hAnsi="TT15o00" w:cs="Times New Roman"/>
          <w:color w:val="000000"/>
          <w:sz w:val="24"/>
          <w:szCs w:val="24"/>
          <w:lang w:eastAsia="hr-HR"/>
        </w:rPr>
        <w:t xml:space="preserve"> 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je pisano sustavno uočavanje i poticanje redovitosti rada, razine usvojenosti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učenikova znanja i vještina.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  <w:r>
        <w:rPr>
          <w:rFonts w:ascii="TT15o00" w:eastAsia="Times New Roman" w:hAnsi="TT15o00" w:cs="Times New Roman"/>
          <w:b/>
          <w:color w:val="000000"/>
          <w:sz w:val="24"/>
          <w:szCs w:val="24"/>
          <w:lang w:eastAsia="hr-HR"/>
        </w:rPr>
        <w:t>Vr</w:t>
      </w:r>
      <w:r w:rsidRPr="00AB5AC2">
        <w:rPr>
          <w:rFonts w:ascii="TT15o00" w:eastAsia="Times New Roman" w:hAnsi="TT15o00" w:cs="Times New Roman"/>
          <w:b/>
          <w:color w:val="000000"/>
          <w:sz w:val="24"/>
          <w:szCs w:val="24"/>
          <w:lang w:eastAsia="hr-HR"/>
        </w:rPr>
        <w:t>ednovanje</w:t>
      </w:r>
      <w:r w:rsidRPr="00AB5AC2">
        <w:rPr>
          <w:rFonts w:ascii="TT15o00" w:eastAsia="Times New Roman" w:hAnsi="TT15o00" w:cs="Times New Roman"/>
          <w:color w:val="000000"/>
          <w:sz w:val="24"/>
          <w:szCs w:val="24"/>
          <w:lang w:eastAsia="hr-HR"/>
        </w:rPr>
        <w:t xml:space="preserve"> 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je povremeno provjeravanje usvojenosti znanja i vještina određenoga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  <w:r w:rsidR="00F2206F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područja i sadržaja. Vr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ednovanje se temelji na početnom stanju i praćenju.</w:t>
      </w:r>
    </w:p>
    <w:p w:rsidR="00AB5AC2" w:rsidRPr="00AB5AC2" w:rsidRDefault="00AB5AC2" w:rsidP="00AB5AC2">
      <w:pPr>
        <w:pStyle w:val="Odlomakpopisa"/>
        <w:numPr>
          <w:ilvl w:val="0"/>
          <w:numId w:val="1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Sastavnice vrednovanja u predmetu Hrvatski jezik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Sastavnice vrednovanja u predmetu proizlaze iz odgojno-obrazovnih ishoda organiziranih u trima predmetnim područjima: Hrvatski jezik i komunikacija (A), Književnost i stvaralaštvo (B) i Kultura i mediji (C).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Sastavnicama vrednovanja u svim se trima nastavnim područjima opaža, prati i vrednuje dubina i širina usvojenosti odgojno-obrazovnih ishoda u kognitivnome i afektivnome području (znanja, vještine, stavovi i vrijednosti) u svim trima nastavnim područjima. Uz svaki odgojno-obrazovni ishod predlažu se četiri razine usvojenosti kojima se mjeri usvojenost ishoda na zadovoljavajućoj, dobroj, v</w:t>
      </w:r>
      <w:r w:rsidR="00F2206F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rlo dobroj i iznimnoj razini.  </w:t>
      </w:r>
    </w:p>
    <w:p w:rsidR="00AB5AC2" w:rsidRPr="00F2206F" w:rsidRDefault="00AB5AC2" w:rsidP="00AB5AC2">
      <w:pPr>
        <w:pStyle w:val="Odlomakpopisa"/>
        <w:numPr>
          <w:ilvl w:val="0"/>
          <w:numId w:val="1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Sastavnice vrednovanja obuhvaćaju: </w:t>
      </w:r>
    </w:p>
    <w:p w:rsidR="00AB5AC2" w:rsidRPr="00F2206F" w:rsidRDefault="00AB5AC2" w:rsidP="00AB5AC2">
      <w:pPr>
        <w:pStyle w:val="Odlomakpopisa"/>
        <w:numPr>
          <w:ilvl w:val="1"/>
          <w:numId w:val="1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stečena znanja o jeziku, književnosti, medijskoj, kulturnoj i međukulturnoj pismenosti </w:t>
      </w:r>
    </w:p>
    <w:p w:rsidR="00AB5AC2" w:rsidRPr="00F2206F" w:rsidRDefault="00AB5AC2" w:rsidP="00AB5AC2">
      <w:pPr>
        <w:pStyle w:val="Odlomakpopisa"/>
        <w:numPr>
          <w:ilvl w:val="1"/>
          <w:numId w:val="1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sposobnost razumijevanja jezičnih, književnih i kulturnih koncepata kojima se znanja usustavljuju i međusobno povezuju i isprepliću u predmetu Hrvatski jezik (</w:t>
      </w: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unutarpredmetno</w:t>
      </w:r>
      <w:proofErr w:type="spellEnd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povezivanje) te povezuju s </w:t>
      </w: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međupredmetnim</w:t>
      </w:r>
      <w:proofErr w:type="spellEnd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temama i drugim predmetima po načelu </w:t>
      </w: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međupredmetne</w:t>
      </w:r>
      <w:proofErr w:type="spellEnd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povezanosti </w:t>
      </w:r>
    </w:p>
    <w:p w:rsidR="00AB5AC2" w:rsidRPr="00F2206F" w:rsidRDefault="00AB5AC2" w:rsidP="00AB5AC2">
      <w:pPr>
        <w:pStyle w:val="Odlomakpopisa"/>
        <w:numPr>
          <w:ilvl w:val="1"/>
          <w:numId w:val="1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primjenu znanja i koncepata na razini analize i sinteze te stvaranje novih znanja i koncepata.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Sustavnim praćenjem i vrednovanjem na temelju prikupljanja i tumačenja podataka o poučavanju i napredovanju pojedinoga učenika djeluje se na poboljšanje učenja i poučavanja. Formativno vrednovanje polazište je za učenikovo i učiteljevo/nastavnikovo planiranje daljnjega učenja i poučavanja.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lastRenderedPageBreak/>
        <w:t xml:space="preserve">Na kraju određenoga razdoblja učenja i poučavanja procjenjuju se ostvarivanje odgojno-obrazovnih ishoda. </w:t>
      </w: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Sumativno</w:t>
      </w:r>
      <w:proofErr w:type="spellEnd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se vrednuje usvojenost znanja i razvijenost vještina, a prati se i procjenjuje usvojenost općeprihvaćenih stavova i vrijednosti te razvijenost navika i elementi generičkih kompetencija: odgovornost, samostalnost i samoinicijativnost te komunikacija i suradnja. Smisao i cilj procjenjivanja jest poticanje učenika na iskazivanje znanja, vještina i stavova.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</w:p>
    <w:p w:rsid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Tri su osnova pristupa vrednovanju: vrednovanje za učenje, vrednovanje kao učenje i vrednovanje naučenoga.  </w:t>
      </w:r>
    </w:p>
    <w:p w:rsidR="00AB5AC2" w:rsidRPr="00AB5AC2" w:rsidRDefault="00AB5AC2" w:rsidP="00AB5AC2">
      <w:pPr>
        <w:pStyle w:val="Odlomakpopisa"/>
        <w:numPr>
          <w:ilvl w:val="0"/>
          <w:numId w:val="1"/>
        </w:numPr>
        <w:spacing w:after="0" w:line="360" w:lineRule="auto"/>
        <w:rPr>
          <w:rFonts w:ascii="TT14o00" w:eastAsia="Times New Roman" w:hAnsi="TT14o00" w:cs="Times New Roman"/>
          <w:b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b/>
          <w:color w:val="000000"/>
          <w:sz w:val="24"/>
          <w:szCs w:val="24"/>
          <w:lang w:eastAsia="hr-HR"/>
        </w:rPr>
        <w:t xml:space="preserve">Vrednovanje za učenje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Vrednovanje za učenje služi unapređivanju i planiranju budućega učenja i poučavanja. Temelji se na povratnoj informaciji učeniku i razmjeni iskustava (učitelj i nastavnik - učenik i učenik - učenik) o procesima učenja te usvojenosti znanja, vještina i stavova u odnosu na postavljena očekivanja. Motivira učenike na daljnji rad.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u w:val="single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u w:val="single"/>
          <w:lang w:eastAsia="hr-HR"/>
        </w:rPr>
        <w:t xml:space="preserve">Oblici su vrednovanja:  </w:t>
      </w:r>
    </w:p>
    <w:p w:rsidR="00AB5AC2" w:rsidRPr="00AB5AC2" w:rsidRDefault="00AB5AC2" w:rsidP="00AB5AC2">
      <w:pPr>
        <w:pStyle w:val="Odlomakpopisa"/>
        <w:numPr>
          <w:ilvl w:val="0"/>
          <w:numId w:val="2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provjera razumijevanja i učenikova napredovanja ciljanim pitanjima </w:t>
      </w:r>
    </w:p>
    <w:p w:rsidR="00AB5AC2" w:rsidRPr="00AB5AC2" w:rsidRDefault="00AB5AC2" w:rsidP="00AB5AC2">
      <w:pPr>
        <w:pStyle w:val="Odlomakpopisa"/>
        <w:numPr>
          <w:ilvl w:val="0"/>
          <w:numId w:val="2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vođenje individualnih savjetodavnih i refleksivnih razgovora s učenicima </w:t>
      </w:r>
    </w:p>
    <w:p w:rsidR="00AB5AC2" w:rsidRPr="00AB5AC2" w:rsidRDefault="00AB5AC2" w:rsidP="00AB5AC2">
      <w:pPr>
        <w:pStyle w:val="Odlomakpopisa"/>
        <w:numPr>
          <w:ilvl w:val="0"/>
          <w:numId w:val="2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predstavljanje učeničkih radova </w:t>
      </w:r>
    </w:p>
    <w:p w:rsidR="00AB5AC2" w:rsidRPr="00AB5AC2" w:rsidRDefault="00AB5AC2" w:rsidP="00AB5AC2">
      <w:pPr>
        <w:pStyle w:val="Odlomakpopisa"/>
        <w:numPr>
          <w:ilvl w:val="0"/>
          <w:numId w:val="2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uvid u učeničke mape (uvidom u učeničke uratke, prikupljane tijekom dužega razdoblja, prati se učenikov napredak) </w:t>
      </w:r>
    </w:p>
    <w:p w:rsidR="00AB5AC2" w:rsidRPr="00AB5AC2" w:rsidRDefault="00AB5AC2" w:rsidP="00AB5AC2">
      <w:pPr>
        <w:pStyle w:val="Odlomakpopisa"/>
        <w:numPr>
          <w:ilvl w:val="0"/>
          <w:numId w:val="2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predstavljanje učeničkih projekata </w:t>
      </w:r>
    </w:p>
    <w:p w:rsidR="00AB5AC2" w:rsidRPr="00AB5AC2" w:rsidRDefault="00AB5AC2" w:rsidP="00AB5AC2">
      <w:pPr>
        <w:pStyle w:val="Odlomakpopisa"/>
        <w:numPr>
          <w:ilvl w:val="0"/>
          <w:numId w:val="2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opažanja učeničkih aktivnosti i ponašanja tijekom učenja i poučavanja (frontalno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, individualno i suradničko). 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Učitelj promatra učenika u situacijama koje su učeniku poznate i u kojima ima mogućnost pokazati svoje znanje i </w:t>
      </w:r>
      <w:r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vještine na različite načine. 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Vrednovanje za učenje treba biti redovito, nenametljivo i integrirano u sam proces učenja. Učitelji mogu </w:t>
      </w: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primjenivati</w:t>
      </w:r>
      <w:proofErr w:type="spellEnd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različite metode prikupljanja informacija tijekom sudjelovanja učenika u različitim aktivnostima (Slika 4), ali je važno naglasiti da prikupljene informacije ne rezultiraju ocjenom. 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Povratnom informacijom u vrednovanju za učenje smatra se proces traženja i tumačenja dokaza koje učenici i njihovi učitelji mogu upotrijebiti u procjeni gdje su učenici u vlastitom učenju, kamo i kuda trebaju ići te kako najuspješnije ostvariti definirane ishode. Učenici bolje reagiraju na vrednovanje prije ocjenjivanja, skloni su ignorirati primjedbe</w:t>
      </w:r>
      <w:r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nakon što su već ocijenjeni. 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lastRenderedPageBreak/>
        <w:t>Umjesto primjedbi koje mogu učenicima djelovati dosta nejasno, konkretna i jasna povratna informacija daje ja</w:t>
      </w:r>
      <w:r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snu uputu što treba popraviti.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</w:p>
    <w:p w:rsidR="00AB5AC2" w:rsidRPr="00AB5AC2" w:rsidRDefault="00AB5AC2" w:rsidP="00AB5AC2">
      <w:pPr>
        <w:pStyle w:val="Odlomakpopisa"/>
        <w:numPr>
          <w:ilvl w:val="0"/>
          <w:numId w:val="1"/>
        </w:numPr>
        <w:spacing w:after="0" w:line="360" w:lineRule="auto"/>
        <w:rPr>
          <w:rFonts w:ascii="TT14o00" w:eastAsia="Times New Roman" w:hAnsi="TT14o00" w:cs="Times New Roman"/>
          <w:b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b/>
          <w:color w:val="000000"/>
          <w:sz w:val="24"/>
          <w:szCs w:val="24"/>
          <w:lang w:eastAsia="hr-HR"/>
        </w:rPr>
        <w:t xml:space="preserve">Vrednovanje kao učenje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Vrednovanje kao učenje jest pristup vrednovanju koji se temelji na ideji da učenici vrednovanjem uče, stoga nužno podrazumijeva aktivno uključivanje učenika u proces vrednovanja uz stalnu podršku učitelja kao bi se maksimalno potaknuo razvoj učeničkoga autonomnog i </w:t>
      </w: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sa</w:t>
      </w:r>
      <w:r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moreguliranog</w:t>
      </w:r>
      <w:proofErr w:type="spellEnd"/>
      <w:r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pristupa učenju.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Vrednovanje kao učenje učenika potiče na (samo)praćenje, (samo)refleksiju i </w:t>
      </w: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samovrednovanje</w:t>
      </w:r>
      <w:proofErr w:type="spellEnd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učenja s obzirom na ciljeve postavljene na početku nastavnoga procesa. Učenjem i poučavanjem učenike se usmjerava na ovladavanje strategijama nadgledanja, planiranja i </w:t>
      </w: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samoreguliranja</w:t>
      </w:r>
      <w:proofErr w:type="spellEnd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vlastitoga napredovanja u usvajanju znanja, vještina i stavova radi postizanja samostalnosti i preuzimanja od</w:t>
      </w:r>
      <w:r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govornosti za vlastito učenje. 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u w:val="single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u w:val="single"/>
          <w:lang w:eastAsia="hr-HR"/>
        </w:rPr>
        <w:t>Oblici su vrednovanja</w:t>
      </w:r>
      <w:r>
        <w:rPr>
          <w:rFonts w:ascii="TT14o00" w:eastAsia="Times New Roman" w:hAnsi="TT14o00" w:cs="Times New Roman"/>
          <w:color w:val="000000"/>
          <w:sz w:val="24"/>
          <w:szCs w:val="24"/>
          <w:u w:val="single"/>
          <w:lang w:eastAsia="hr-HR"/>
        </w:rPr>
        <w:t xml:space="preserve">:  </w:t>
      </w:r>
    </w:p>
    <w:p w:rsidR="00AB5AC2" w:rsidRPr="00AB5AC2" w:rsidRDefault="00AB5AC2" w:rsidP="00AB5AC2">
      <w:pPr>
        <w:pStyle w:val="Odlomakpopisa"/>
        <w:numPr>
          <w:ilvl w:val="0"/>
          <w:numId w:val="3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vođenje individualnih savjetodavnih i refl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eksivnih razgovora s učenicima </w:t>
      </w:r>
    </w:p>
    <w:p w:rsidR="00AB5AC2" w:rsidRPr="00AB5AC2" w:rsidRDefault="00AB5AC2" w:rsidP="00AB5AC2">
      <w:pPr>
        <w:pStyle w:val="Odlomakpopisa"/>
        <w:numPr>
          <w:ilvl w:val="0"/>
          <w:numId w:val="3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služenje popisima za (samo)procjenu znanja, vještina i sposobnosti, popisima kompetencija za 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osobnu </w:t>
      </w: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samoprocjenu</w:t>
      </w:r>
      <w:proofErr w:type="spellEnd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i praćenje </w:t>
      </w:r>
    </w:p>
    <w:p w:rsidR="00AB5AC2" w:rsidRPr="00AB5AC2" w:rsidRDefault="00AB5AC2" w:rsidP="00AB5AC2">
      <w:pPr>
        <w:pStyle w:val="Odlomakpopisa"/>
        <w:numPr>
          <w:ilvl w:val="0"/>
          <w:numId w:val="3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obrascima za (samo)procjenu predstavljačkih uradak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a </w:t>
      </w:r>
    </w:p>
    <w:p w:rsidR="00AB5AC2" w:rsidRPr="00AB5AC2" w:rsidRDefault="00AB5AC2" w:rsidP="00AB5AC2">
      <w:pPr>
        <w:pStyle w:val="Odlomakpopisa"/>
        <w:numPr>
          <w:ilvl w:val="0"/>
          <w:numId w:val="3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opisnicima</w:t>
      </w:r>
      <w:proofErr w:type="spellEnd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za (samo)procjenu suradničkoga učenja, upitnicima, tablicama, ljestvicama procjene, planovima učenja i njegova ostvarivanja.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Vrednovanje kao učenje služi učeniku da u procesu učenja promišlja o svom učenju te na temelju povratne informacije koju dobije od vršnjaka (vršnjačka procjena) ili učitelja mijenja strategije učenja kako bi ostvario svoj cilj. Učenik postupno uči kako se </w:t>
      </w: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samovrednovati</w:t>
      </w:r>
      <w:proofErr w:type="spellEnd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pa mu je na početku važna podrška učitelja. Za kvalitetno provedeno </w:t>
      </w: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samovrednovanje</w:t>
      </w:r>
      <w:proofErr w:type="spellEnd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ili vršnjačko vrednovanje učenik treba razvijati niz vještina: kako sebi ili drugima postaviti pitanja koja potiču refleksiju, kako dati povratnu informaciju, kako primiti povratnu informaciju, itd. (Slika 1). </w:t>
      </w: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Samovrednovanje</w:t>
      </w:r>
      <w:proofErr w:type="spellEnd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ili vršnjačko vrednovanje uspješno je ako je učenik kroz promišljanje pronašao način kako unaprijediti svoje učenje.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U praksi je uobičajeno da učenici povrem</w:t>
      </w:r>
      <w:r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eno imaju priliku sudjelovati 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vrednovanju tako da ispravljaju vlastite ili tuđe uratke prema uputama učitelja ili kažu koju ocjenu zaslužuju. Najčešće pritom ne raspravljaju o kriterijima na temelju kojih su donijeli svoju odluku. Takve povratne informacije nisu učinkovite u poboljšanju samoga procesa učenja.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Učenici, osim s ishodima učenja, trebaju biti upoznati i s elementima vrednovanja koji im jasno mogu odgovoriti na pitanje kako mogu prepoznati različite razine vlastitih postignuća. Tijekom procesa </w:t>
      </w: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samovrednovanja</w:t>
      </w:r>
      <w:proofErr w:type="spellEnd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učenik ima priliku procjenjivati svoj rad na temelju istih, unaprijed postavljenih kr</w:t>
      </w:r>
      <w:r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iterija, kao i njegov učitelj.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Da bi vrednovanje kao učenje bilo učinkovito, u analiziranj</w:t>
      </w:r>
      <w:r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u uspješnosti vlastita učenja 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učenici moraju unaprijed jasno znati kamo idu, odnosno koji su ciljevi/ishodi u određenom vremenskom razdoblju.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</w:p>
    <w:p w:rsidR="00AB5AC2" w:rsidRPr="00AB5AC2" w:rsidRDefault="00AB5AC2" w:rsidP="00AB5AC2">
      <w:pPr>
        <w:pStyle w:val="Odlomakpopisa"/>
        <w:numPr>
          <w:ilvl w:val="0"/>
          <w:numId w:val="1"/>
        </w:numPr>
        <w:spacing w:after="0" w:line="360" w:lineRule="auto"/>
        <w:rPr>
          <w:rFonts w:ascii="TT14o00" w:eastAsia="Times New Roman" w:hAnsi="TT14o00" w:cs="Times New Roman"/>
          <w:b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b/>
          <w:color w:val="000000"/>
          <w:sz w:val="24"/>
          <w:szCs w:val="24"/>
          <w:lang w:eastAsia="hr-HR"/>
        </w:rPr>
        <w:t xml:space="preserve">Vrednovanje naučenoga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Vrednovanje naučenoga podrazumijeva </w:t>
      </w: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sumativno</w:t>
      </w:r>
      <w:proofErr w:type="spellEnd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vrednovanje razine usvojenosti znanja i razvijenosti vještina u odnosu na definirane odgojno-obrazovne ishode, njihovu razradu te razine usvojenosti. Provodi se tijekom ili na kraju određenoga planiranog razdoblja: obrade, ponavljanja, uvježbavanja, usustavljivanja i sintetiziranja radi provjere ostvarivanja planiranih odgojno-obrazovnih ishoda </w:t>
      </w:r>
      <w:r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i rezultira brojčanom ocjenom. </w:t>
      </w:r>
    </w:p>
    <w:p w:rsid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u w:val="single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u w:val="single"/>
          <w:lang w:eastAsia="hr-HR"/>
        </w:rPr>
        <w:t xml:space="preserve">Oblici su vrednovanja:  </w:t>
      </w:r>
    </w:p>
    <w:p w:rsidR="00AB5AC2" w:rsidRPr="00AB5AC2" w:rsidRDefault="00AB5AC2" w:rsidP="00AB5AC2">
      <w:pPr>
        <w:pStyle w:val="Odlomakpopisa"/>
        <w:numPr>
          <w:ilvl w:val="0"/>
          <w:numId w:val="4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usmene provjere </w:t>
      </w:r>
    </w:p>
    <w:p w:rsidR="00AB5AC2" w:rsidRPr="00AB5AC2" w:rsidRDefault="00AB5AC2" w:rsidP="00AB5AC2">
      <w:pPr>
        <w:pStyle w:val="Odlomakpopisa"/>
        <w:numPr>
          <w:ilvl w:val="0"/>
          <w:numId w:val="4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pisane provjere zadatcima zatvorenoga i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/ili otvorenog tipa </w:t>
      </w:r>
    </w:p>
    <w:p w:rsidR="00AB5AC2" w:rsidRPr="00AB5AC2" w:rsidRDefault="00AB5AC2" w:rsidP="00AB5AC2">
      <w:pPr>
        <w:pStyle w:val="Odlomakpopisa"/>
        <w:numPr>
          <w:ilvl w:val="0"/>
          <w:numId w:val="4"/>
        </w:num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predstavljanja ili izvedbe: govorni i razgovorni oblici, praktični radovi, projekti; učeničke mape i sl. 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Provode se prema potrebi/planu i individualnoj pr</w:t>
      </w:r>
      <w:r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ocjeni učitelja i nastavnika. 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Vrednovanje ostvarivanja odgojno-obrazovnih ishoda potiče dubinsko i trajno učenje te primjenu znanja i vještina u novim situacijama i rješavanje problema u kontekstu koji je učenicima važan i zanimljiv. Nedvosmislena pravila i mjerila vrednovanja učenicima pomažu pri razumijevanju sastavnica uspješne izvedbe i područja učenja koji se vrednuju. </w:t>
      </w:r>
    </w:p>
    <w:p w:rsidR="00AB5AC2" w:rsidRP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</w:p>
    <w:p w:rsid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Zaključna (</w:t>
      </w: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pr</w:t>
      </w:r>
      <w:proofErr w:type="spellEnd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)ocjena oblikuje se na temelju što više različitih informacija o učenikovu ostvarivanju odgojno-obrazovnih ishoda. </w:t>
      </w:r>
    </w:p>
    <w:p w:rsidR="00AB5AC2" w:rsidRDefault="00AB5AC2" w:rsidP="00AB5AC2">
      <w:pPr>
        <w:spacing w:after="0" w:line="360" w:lineRule="auto"/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b/>
          <w:color w:val="000000"/>
          <w:sz w:val="24"/>
          <w:szCs w:val="24"/>
          <w:u w:val="single"/>
          <w:lang w:eastAsia="hr-HR"/>
        </w:rPr>
        <w:t>Zaključna (</w:t>
      </w:r>
      <w:proofErr w:type="spellStart"/>
      <w:r w:rsidRPr="00AB5AC2">
        <w:rPr>
          <w:rFonts w:ascii="TT14o00" w:eastAsia="Times New Roman" w:hAnsi="TT14o00" w:cs="Times New Roman"/>
          <w:b/>
          <w:color w:val="000000"/>
          <w:sz w:val="24"/>
          <w:szCs w:val="24"/>
          <w:u w:val="single"/>
          <w:lang w:eastAsia="hr-HR"/>
        </w:rPr>
        <w:t>pr</w:t>
      </w:r>
      <w:proofErr w:type="spellEnd"/>
      <w:r w:rsidRPr="00AB5AC2">
        <w:rPr>
          <w:rFonts w:ascii="TT14o00" w:eastAsia="Times New Roman" w:hAnsi="TT14o00" w:cs="Times New Roman"/>
          <w:b/>
          <w:color w:val="000000"/>
          <w:sz w:val="24"/>
          <w:szCs w:val="24"/>
          <w:u w:val="single"/>
          <w:lang w:eastAsia="hr-HR"/>
        </w:rPr>
        <w:t>)ocjena nije aritmetička sredina pojedinačnih ocjena</w:t>
      </w:r>
      <w:r w:rsidRPr="00AB5AC2">
        <w:rPr>
          <w:rFonts w:ascii="TT14o00" w:eastAsia="Times New Roman" w:hAnsi="TT14o00" w:cs="Times New Roman"/>
          <w:b/>
          <w:color w:val="000000"/>
          <w:sz w:val="24"/>
          <w:szCs w:val="24"/>
          <w:lang w:eastAsia="hr-HR"/>
        </w:rPr>
        <w:t>, već je pokazatelj učenikova napretka u učenju i razvijenosti razumijevanja, vještina i sposobnosti izricanja kritičkoga i stvaralačkoga mišljenja, vrijednosti i stavova.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 xml:space="preserve"> </w:t>
      </w:r>
    </w:p>
    <w:p w:rsidR="00AB5AC2" w:rsidRDefault="00AB5AC2" w:rsidP="00AB5AC2">
      <w:pPr>
        <w:spacing w:after="0" w:line="360" w:lineRule="auto"/>
        <w:rPr>
          <w:rFonts w:ascii="TT15o00" w:eastAsia="Times New Roman" w:hAnsi="TT15o00" w:cs="Times New Roman"/>
          <w:color w:val="FF0000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lastRenderedPageBreak/>
        <w:t>O podatcima o učenikovu postignuću i uradcima u predmetu, uloženome trudu, sudjelovanju, suradnji i odgovornosti izvješćuje se zasebno, osim o elementima koji su izravno ugrađeni u odgojno-obrazovne ishode.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</w:p>
    <w:p w:rsidR="00AB5AC2" w:rsidRPr="00AB5AC2" w:rsidRDefault="00AB5AC2" w:rsidP="00AB5A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Iako postoje različite metode bodovanja za testove sastavljene od zadataka objektivnog tipa,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predlaže se: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a) da svaki element koji se testira nosi jedan bod i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b) da se unaprijed zadaju bodovi za ocjene od nedovoljan do odličan.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Raspon za svaku ocjenu je jednak (</w:t>
      </w:r>
      <w:r w:rsidRPr="00AB5AC2">
        <w:rPr>
          <w:rFonts w:ascii="TT15o00" w:eastAsia="Times New Roman" w:hAnsi="TT15o00" w:cs="Times New Roman"/>
          <w:color w:val="000000"/>
          <w:sz w:val="24"/>
          <w:szCs w:val="24"/>
          <w:lang w:eastAsia="hr-HR"/>
        </w:rPr>
        <w:t>12,5%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545"/>
        <w:gridCol w:w="1560"/>
        <w:gridCol w:w="1545"/>
        <w:gridCol w:w="1545"/>
        <w:gridCol w:w="1545"/>
      </w:tblGrid>
      <w:tr w:rsidR="00AB5AC2" w:rsidRPr="00AB5AC2" w:rsidTr="00AB5A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5o00" w:eastAsia="Times New Roman" w:hAnsi="TT15o00" w:cs="Times New Roman"/>
                <w:color w:val="000000"/>
                <w:sz w:val="24"/>
                <w:szCs w:val="24"/>
                <w:lang w:eastAsia="hr-HR"/>
              </w:rPr>
              <w:t xml:space="preserve">POSTOTAK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5o00" w:eastAsia="Times New Roman" w:hAnsi="TT15o00" w:cs="Times New Roman"/>
                <w:color w:val="000000"/>
                <w:sz w:val="24"/>
                <w:szCs w:val="24"/>
                <w:lang w:eastAsia="hr-HR"/>
              </w:rPr>
              <w:t xml:space="preserve">0 – 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5o00" w:eastAsia="Times New Roman" w:hAnsi="TT15o00" w:cs="Times New Roman"/>
                <w:color w:val="000000"/>
                <w:sz w:val="24"/>
                <w:szCs w:val="24"/>
                <w:lang w:eastAsia="hr-HR"/>
              </w:rPr>
              <w:t xml:space="preserve">&gt; 50 – 62,5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5o00" w:eastAsia="Times New Roman" w:hAnsi="TT15o00" w:cs="Times New Roman"/>
                <w:color w:val="000000"/>
                <w:sz w:val="24"/>
                <w:szCs w:val="24"/>
                <w:lang w:eastAsia="hr-HR"/>
              </w:rPr>
              <w:t xml:space="preserve">&gt; 62,5 - 75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5o00" w:eastAsia="Times New Roman" w:hAnsi="TT15o00" w:cs="Times New Roman"/>
                <w:color w:val="000000"/>
                <w:sz w:val="24"/>
                <w:szCs w:val="24"/>
                <w:lang w:eastAsia="hr-HR"/>
              </w:rPr>
              <w:t xml:space="preserve">&gt;75 – 87,5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5o00" w:eastAsia="Times New Roman" w:hAnsi="TT15o00" w:cs="Times New Roman"/>
                <w:color w:val="000000"/>
                <w:sz w:val="24"/>
                <w:szCs w:val="24"/>
                <w:lang w:eastAsia="hr-HR"/>
              </w:rPr>
              <w:t>&gt; 87,5 – 100</w:t>
            </w:r>
          </w:p>
        </w:tc>
      </w:tr>
      <w:tr w:rsidR="00AB5AC2" w:rsidRPr="00AB5AC2" w:rsidTr="00AB5AC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5o00" w:eastAsia="Times New Roman" w:hAnsi="TT15o00" w:cs="Times New Roman"/>
                <w:color w:val="000000"/>
                <w:sz w:val="24"/>
                <w:szCs w:val="24"/>
                <w:lang w:eastAsia="hr-HR"/>
              </w:rPr>
              <w:t xml:space="preserve">OCJENA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2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</w:tbl>
    <w:p w:rsidR="00AB5AC2" w:rsidRDefault="00AB5AC2" w:rsidP="00AB5A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AC2" w:rsidRPr="00AB5AC2" w:rsidRDefault="00AB5AC2" w:rsidP="00AB5A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Primjer pretvaranja bodova u ocjene: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  <w:r w:rsidRPr="00AB5AC2">
        <w:rPr>
          <w:rFonts w:ascii="Times-Roman" w:eastAsia="Times New Roman" w:hAnsi="Times-Roman" w:cs="Times New Roman"/>
          <w:color w:val="000000"/>
          <w:sz w:val="14"/>
          <w:szCs w:val="14"/>
          <w:lang w:eastAsia="hr-HR"/>
        </w:rPr>
        <w:t xml:space="preserve">1 </w:t>
      </w:r>
      <w:r w:rsidRPr="00AB5AC2">
        <w:rPr>
          <w:rFonts w:ascii="Times-Roman" w:eastAsia="Times New Roman" w:hAnsi="Times-Roman" w:cs="Times New Roman"/>
          <w:color w:val="000000"/>
          <w:sz w:val="20"/>
          <w:szCs w:val="20"/>
          <w:lang w:eastAsia="hr-HR"/>
        </w:rPr>
        <w:t>Pod pojmom „umjetni</w:t>
      </w:r>
      <w:r w:rsidRPr="00AB5AC2">
        <w:rPr>
          <w:rFonts w:ascii="TT19o00" w:eastAsia="Times New Roman" w:hAnsi="TT19o00" w:cs="Times New Roman"/>
          <w:color w:val="000000"/>
          <w:sz w:val="20"/>
          <w:szCs w:val="20"/>
          <w:lang w:eastAsia="hr-HR"/>
        </w:rPr>
        <w:t>č</w:t>
      </w:r>
      <w:r w:rsidRPr="00AB5AC2">
        <w:rPr>
          <w:rFonts w:ascii="Times-Roman" w:eastAsia="Times New Roman" w:hAnsi="Times-Roman" w:cs="Times New Roman"/>
          <w:color w:val="000000"/>
          <w:sz w:val="20"/>
          <w:szCs w:val="20"/>
          <w:lang w:eastAsia="hr-HR"/>
        </w:rPr>
        <w:t>ko djelo“ misli se na svu umjetni</w:t>
      </w:r>
      <w:r w:rsidRPr="00AB5AC2">
        <w:rPr>
          <w:rFonts w:ascii="TT19o00" w:eastAsia="Times New Roman" w:hAnsi="TT19o00" w:cs="Times New Roman"/>
          <w:color w:val="000000"/>
          <w:sz w:val="20"/>
          <w:szCs w:val="20"/>
          <w:lang w:eastAsia="hr-HR"/>
        </w:rPr>
        <w:t>č</w:t>
      </w:r>
      <w:r w:rsidRPr="00AB5AC2">
        <w:rPr>
          <w:rFonts w:ascii="Times-Roman" w:eastAsia="Times New Roman" w:hAnsi="Times-Roman" w:cs="Times New Roman"/>
          <w:color w:val="000000"/>
          <w:sz w:val="20"/>
          <w:szCs w:val="20"/>
          <w:lang w:eastAsia="hr-HR"/>
        </w:rPr>
        <w:t>ku produkciju, bez obzira na na</w:t>
      </w:r>
      <w:r w:rsidRPr="00AB5AC2">
        <w:rPr>
          <w:rFonts w:ascii="TT19o00" w:eastAsia="Times New Roman" w:hAnsi="TT19o00" w:cs="Times New Roman"/>
          <w:color w:val="000000"/>
          <w:sz w:val="20"/>
          <w:szCs w:val="20"/>
          <w:lang w:eastAsia="hr-HR"/>
        </w:rPr>
        <w:t>č</w:t>
      </w:r>
      <w:r w:rsidRPr="00AB5AC2">
        <w:rPr>
          <w:rFonts w:ascii="Times-Roman" w:eastAsia="Times New Roman" w:hAnsi="Times-Roman" w:cs="Times New Roman"/>
          <w:color w:val="000000"/>
          <w:sz w:val="20"/>
          <w:szCs w:val="20"/>
          <w:lang w:eastAsia="hr-HR"/>
        </w:rPr>
        <w:t>in posredovanja</w:t>
      </w:r>
      <w:r w:rsidRPr="00AB5AC2">
        <w:rPr>
          <w:rFonts w:ascii="Times-Roman" w:eastAsia="Times New Roman" w:hAnsi="Times-Roman" w:cs="Times New Roman"/>
          <w:color w:val="000000"/>
          <w:sz w:val="20"/>
          <w:szCs w:val="20"/>
          <w:lang w:eastAsia="hr-HR"/>
        </w:rPr>
        <w:br/>
        <w:t>(tiskana/elektroni</w:t>
      </w:r>
      <w:r w:rsidRPr="00AB5AC2">
        <w:rPr>
          <w:rFonts w:ascii="TT19o00" w:eastAsia="Times New Roman" w:hAnsi="TT19o00" w:cs="Times New Roman"/>
          <w:color w:val="000000"/>
          <w:sz w:val="20"/>
          <w:szCs w:val="20"/>
          <w:lang w:eastAsia="hr-HR"/>
        </w:rPr>
        <w:t>č</w:t>
      </w:r>
      <w:r w:rsidRPr="00AB5AC2">
        <w:rPr>
          <w:rFonts w:ascii="Times-Roman" w:eastAsia="Times New Roman" w:hAnsi="Times-Roman" w:cs="Times New Roman"/>
          <w:color w:val="000000"/>
          <w:sz w:val="20"/>
          <w:szCs w:val="20"/>
          <w:lang w:eastAsia="hr-HR"/>
        </w:rPr>
        <w:t>ka knjiga, audiovizualni/</w:t>
      </w:r>
      <w:proofErr w:type="spellStart"/>
      <w:r w:rsidRPr="00AB5AC2">
        <w:rPr>
          <w:rFonts w:ascii="Times-Roman" w:eastAsia="Times New Roman" w:hAnsi="Times-Roman" w:cs="Times New Roman"/>
          <w:color w:val="000000"/>
          <w:sz w:val="20"/>
          <w:szCs w:val="20"/>
          <w:lang w:eastAsia="hr-HR"/>
        </w:rPr>
        <w:t>audiozapis</w:t>
      </w:r>
      <w:proofErr w:type="spellEnd"/>
      <w:r w:rsidRPr="00AB5AC2">
        <w:rPr>
          <w:rFonts w:ascii="Times-Roman" w:eastAsia="Times New Roman" w:hAnsi="Times-Roman" w:cs="Times New Roman"/>
          <w:color w:val="000000"/>
          <w:sz w:val="20"/>
          <w:szCs w:val="20"/>
          <w:lang w:eastAsia="hr-HR"/>
        </w:rPr>
        <w:t>/videozapis, govor, slika/fotografija itd.).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835"/>
        <w:gridCol w:w="2385"/>
      </w:tblGrid>
      <w:tr w:rsidR="00AB5AC2" w:rsidRPr="00AB5AC2" w:rsidTr="00AB5AC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5o00" w:eastAsia="Times New Roman" w:hAnsi="TT15o00" w:cs="Times New Roman"/>
                <w:color w:val="000000"/>
                <w:sz w:val="24"/>
                <w:szCs w:val="24"/>
                <w:lang w:eastAsia="hr-HR"/>
              </w:rPr>
              <w:t xml:space="preserve">32 boda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5o00" w:eastAsia="Times New Roman" w:hAnsi="TT15o00" w:cs="Times New Roman"/>
                <w:color w:val="000000"/>
                <w:sz w:val="24"/>
                <w:szCs w:val="24"/>
                <w:lang w:eastAsia="hr-HR"/>
              </w:rPr>
              <w:t xml:space="preserve">40 bodova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5o00" w:eastAsia="Times New Roman" w:hAnsi="TT15o00" w:cs="Times New Roman"/>
                <w:color w:val="000000"/>
                <w:sz w:val="24"/>
                <w:szCs w:val="24"/>
                <w:lang w:eastAsia="hr-HR"/>
              </w:rPr>
              <w:t>80 bodova</w:t>
            </w:r>
          </w:p>
        </w:tc>
      </w:tr>
      <w:tr w:rsidR="00AB5AC2" w:rsidRPr="00AB5AC2" w:rsidTr="00AB5AC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0 – 16 = nedovoljan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0 – 20 = nedovoljan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>0 – 40 = nedovoljan</w:t>
            </w:r>
          </w:p>
        </w:tc>
      </w:tr>
      <w:tr w:rsidR="00AB5AC2" w:rsidRPr="00AB5AC2" w:rsidTr="00AB5AC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17 – 20 = dovoljan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21 – 25 = dovoljan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>41 – 50 = dovoljan</w:t>
            </w:r>
          </w:p>
        </w:tc>
      </w:tr>
      <w:tr w:rsidR="00AB5AC2" w:rsidRPr="00AB5AC2" w:rsidTr="00AB5AC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21 – 24 = dobar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26 – 30 = dobar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>51 – 60 = dobar</w:t>
            </w:r>
          </w:p>
        </w:tc>
      </w:tr>
      <w:tr w:rsidR="00AB5AC2" w:rsidRPr="00AB5AC2" w:rsidTr="00AB5AC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25 – 28 = vrlo dobar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31 – 35 = vrlo dobar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>61 – 70 = vrlo dobar</w:t>
            </w:r>
          </w:p>
        </w:tc>
      </w:tr>
      <w:tr w:rsidR="00AB5AC2" w:rsidRPr="00AB5AC2" w:rsidTr="00AB5AC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29 – 32 = odličan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36 – 40 = odličan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>71 – 80 = odličan</w:t>
            </w:r>
          </w:p>
        </w:tc>
      </w:tr>
    </w:tbl>
    <w:p w:rsidR="00AB5AC2" w:rsidRDefault="00AB5AC2" w:rsidP="00AB5AC2">
      <w:pPr>
        <w:spacing w:after="0" w:line="360" w:lineRule="auto"/>
        <w:rPr>
          <w:rFonts w:ascii="TT15o00" w:eastAsia="Times New Roman" w:hAnsi="TT15o00" w:cs="Times New Roman"/>
          <w:color w:val="FF0000"/>
          <w:sz w:val="24"/>
          <w:szCs w:val="24"/>
          <w:lang w:eastAsia="hr-HR"/>
        </w:rPr>
      </w:pPr>
      <w:bookmarkStart w:id="0" w:name="_GoBack"/>
      <w:bookmarkEnd w:id="0"/>
    </w:p>
    <w:p w:rsidR="00AB5AC2" w:rsidRPr="00AB5AC2" w:rsidRDefault="00AB5AC2" w:rsidP="00AB5A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5AC2">
        <w:rPr>
          <w:rFonts w:ascii="TT15o00" w:eastAsia="Times New Roman" w:hAnsi="TT15o00" w:cs="Times New Roman"/>
          <w:color w:val="FF0000"/>
          <w:sz w:val="24"/>
          <w:szCs w:val="24"/>
          <w:lang w:eastAsia="hr-HR"/>
        </w:rPr>
        <w:t>KRITERIJI OCJENJIVANJA USMENOG ODGOVORA</w:t>
      </w:r>
      <w:r w:rsidRPr="00AB5AC2">
        <w:rPr>
          <w:rFonts w:ascii="TT15o00" w:eastAsia="Times New Roman" w:hAnsi="TT15o00" w:cs="Times New Roman"/>
          <w:color w:val="FF0000"/>
          <w:sz w:val="24"/>
          <w:szCs w:val="24"/>
          <w:lang w:eastAsia="hr-HR"/>
        </w:rPr>
        <w:br/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Usmeni odgovori su najavljene ili nenajavljene provjere znanja i vještina iz određenog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nastavnog sadržaja, a traju do 10 minuta. Vokalni aspekt ne utječe na ocjenu iz znanja.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  <w:r w:rsidRPr="00AB5AC2">
        <w:rPr>
          <w:rFonts w:ascii="TT15o00" w:eastAsia="Times New Roman" w:hAnsi="TT15o00" w:cs="Times New Roman"/>
          <w:color w:val="000000"/>
          <w:sz w:val="24"/>
          <w:szCs w:val="24"/>
          <w:lang w:eastAsia="hr-HR"/>
        </w:rPr>
        <w:t xml:space="preserve">Nedovoljan 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– učenik nije savladao gradivo. Slabog je predznanja. Ne razumije gradivo.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  <w:r w:rsidRPr="00AB5AC2">
        <w:rPr>
          <w:rFonts w:ascii="TT15o00" w:eastAsia="Times New Roman" w:hAnsi="TT15o00" w:cs="Times New Roman"/>
          <w:color w:val="000000"/>
          <w:sz w:val="24"/>
          <w:szCs w:val="24"/>
          <w:lang w:eastAsia="hr-HR"/>
        </w:rPr>
        <w:t xml:space="preserve">Dovoljan 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– učenik poznaje samo neke sadržaje na razini prepoznavanja. U gradivu se snalazi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uz učiteljevu/nastavnikovu pomoć.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  <w:r w:rsidRPr="00AB5AC2">
        <w:rPr>
          <w:rFonts w:ascii="TT15o00" w:eastAsia="Times New Roman" w:hAnsi="TT15o00" w:cs="Times New Roman"/>
          <w:color w:val="000000"/>
          <w:sz w:val="24"/>
          <w:szCs w:val="24"/>
          <w:lang w:eastAsia="hr-HR"/>
        </w:rPr>
        <w:t xml:space="preserve">Dobar 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– učenik je usvojio sadržaje, ali slabije ih/djelomično primjenjuje. Odgovara uz manju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učiteljevu/nastavnikovu pomoć. Učenik slabije razumije neke sadržaje (uzročno-posljedične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veze).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  <w:r w:rsidRPr="00AB5AC2">
        <w:rPr>
          <w:rFonts w:ascii="TT15o00" w:eastAsia="Times New Roman" w:hAnsi="TT15o00" w:cs="Times New Roman"/>
          <w:color w:val="000000"/>
          <w:sz w:val="24"/>
          <w:szCs w:val="24"/>
          <w:lang w:eastAsia="hr-HR"/>
        </w:rPr>
        <w:t xml:space="preserve">Vrlo dobar 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– učenik je usvojio sadržaje i izlaže ih samostalno. Uči s razumijevanjem i svjesno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usvaja zadano. Aktivno sudjeluje.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  <w:r w:rsidRPr="00AB5AC2">
        <w:rPr>
          <w:rFonts w:ascii="TT15o00" w:eastAsia="Times New Roman" w:hAnsi="TT15o00" w:cs="Times New Roman"/>
          <w:color w:val="000000"/>
          <w:sz w:val="24"/>
          <w:szCs w:val="24"/>
          <w:lang w:eastAsia="hr-HR"/>
        </w:rPr>
        <w:t xml:space="preserve">Odličan 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– učenik obrazlaže, primjenjuje, dokazuje. S lakoćom usvaja i povezuje nove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lastRenderedPageBreak/>
        <w:t>sadržaje.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U izražavanju treba težiti uporabi standardnog hrvatskoga jezika.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  <w:r w:rsidRPr="00AB5AC2">
        <w:rPr>
          <w:rFonts w:ascii="TT15o00" w:eastAsia="Times New Roman" w:hAnsi="TT15o00" w:cs="Times New Roman"/>
          <w:color w:val="FF0000"/>
          <w:sz w:val="24"/>
          <w:szCs w:val="24"/>
          <w:lang w:eastAsia="hr-HR"/>
        </w:rPr>
        <w:t>POMOĆNA TABLICA ZA VRJEDNOVANJE USMENIH ODGOVORA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4125"/>
      </w:tblGrid>
      <w:tr w:rsidR="00AB5AC2" w:rsidRPr="00AB5AC2" w:rsidTr="00AB5AC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Predznanje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>- slabo (1), osrednje (2), jako dobro (3)</w:t>
            </w:r>
          </w:p>
        </w:tc>
      </w:tr>
      <w:tr w:rsidR="00AB5AC2" w:rsidRPr="00AB5AC2" w:rsidTr="00AB5AC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Poznavanje sadržaja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>- slabo (1), osrednje (2), jako dobro (3)</w:t>
            </w:r>
          </w:p>
        </w:tc>
      </w:tr>
      <w:tr w:rsidR="00AB5AC2" w:rsidRPr="00AB5AC2" w:rsidTr="00AB5AC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Samostalnost u odgovaranju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>- slaba (1), osrednja (2), jako dobra (3)</w:t>
            </w:r>
          </w:p>
        </w:tc>
      </w:tr>
      <w:tr w:rsidR="00AB5AC2" w:rsidRPr="00AB5AC2" w:rsidTr="00AB5AC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Razvijenost rječnika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>- slaba (1), osrednja (2), jako dobra (3)</w:t>
            </w:r>
          </w:p>
        </w:tc>
      </w:tr>
      <w:tr w:rsidR="00AB5AC2" w:rsidRPr="00AB5AC2" w:rsidTr="00AB5AC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>Izraž</w:t>
            </w:r>
            <w:proofErr w:type="spellEnd"/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 xml:space="preserve">. standardnim jezikom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>- slabo (1), osrednje (2), jako dobro (3)</w:t>
            </w:r>
          </w:p>
        </w:tc>
      </w:tr>
    </w:tbl>
    <w:p w:rsidR="00AB5AC2" w:rsidRPr="00AB5AC2" w:rsidRDefault="00AB5AC2" w:rsidP="00AB5A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8"/>
        <w:gridCol w:w="1320"/>
        <w:gridCol w:w="1320"/>
        <w:gridCol w:w="1320"/>
        <w:gridCol w:w="1305"/>
        <w:gridCol w:w="1320"/>
      </w:tblGrid>
      <w:tr w:rsidR="00AB5AC2" w:rsidRPr="00AB5AC2" w:rsidTr="00AB5AC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imes-Bold" w:eastAsia="Times New Roman" w:hAnsi="Times-Bold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1.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imes-Bold" w:eastAsia="Times New Roman" w:hAnsi="Times-Bold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2.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imes-Bold" w:eastAsia="Times New Roman" w:hAnsi="Times-Bold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3.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imes-Bold" w:eastAsia="Times New Roman" w:hAnsi="Times-Bold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4.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imes-Bold" w:eastAsia="Times New Roman" w:hAnsi="Times-Bold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5.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imes-Bold" w:eastAsia="Times New Roman" w:hAnsi="Times-Bold" w:cs="Times New Roman"/>
                <w:b/>
                <w:bCs/>
                <w:color w:val="000000"/>
                <w:sz w:val="30"/>
                <w:szCs w:val="30"/>
                <w:lang w:eastAsia="hr-HR"/>
              </w:rPr>
              <w:t>6.</w:t>
            </w:r>
          </w:p>
        </w:tc>
      </w:tr>
      <w:tr w:rsidR="00AB5AC2" w:rsidRPr="00AB5AC2" w:rsidTr="00AB5A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Do00" w:eastAsia="Times New Roman" w:hAnsi="TT1Do00" w:cs="Times New Roman"/>
                <w:color w:val="000000"/>
                <w:sz w:val="20"/>
                <w:szCs w:val="20"/>
                <w:lang w:eastAsia="hr-HR"/>
              </w:rPr>
              <w:t>PREDZNANJE</w:t>
            </w: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5AC2" w:rsidRPr="00AB5AC2" w:rsidTr="00AB5A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Do00" w:eastAsia="Times New Roman" w:hAnsi="TT1Do00" w:cs="Times New Roman"/>
                <w:color w:val="000000"/>
                <w:sz w:val="20"/>
                <w:szCs w:val="20"/>
                <w:lang w:eastAsia="hr-HR"/>
              </w:rPr>
              <w:t>POZNAVANJE</w:t>
            </w:r>
            <w:r w:rsidRPr="00AB5AC2">
              <w:rPr>
                <w:rFonts w:ascii="TT1Do00" w:eastAsia="Times New Roman" w:hAnsi="TT1Do00" w:cs="Times New Roman"/>
                <w:color w:val="000000"/>
                <w:sz w:val="20"/>
                <w:szCs w:val="20"/>
                <w:lang w:eastAsia="hr-HR"/>
              </w:rPr>
              <w:br/>
              <w:t>SADRŽAJA</w:t>
            </w: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5AC2" w:rsidRPr="00AB5AC2" w:rsidTr="00AB5A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Do00" w:eastAsia="Times New Roman" w:hAnsi="TT1Do00" w:cs="Times New Roman"/>
                <w:color w:val="000000"/>
                <w:sz w:val="20"/>
                <w:szCs w:val="20"/>
                <w:lang w:eastAsia="hr-HR"/>
              </w:rPr>
              <w:t>SAMOST. U</w:t>
            </w:r>
            <w:r w:rsidRPr="00AB5AC2">
              <w:rPr>
                <w:rFonts w:ascii="TT1Do00" w:eastAsia="Times New Roman" w:hAnsi="TT1Do00" w:cs="Times New Roman"/>
                <w:color w:val="000000"/>
                <w:sz w:val="20"/>
                <w:szCs w:val="20"/>
                <w:lang w:eastAsia="hr-HR"/>
              </w:rPr>
              <w:br/>
              <w:t>ODGOVARANJU</w:t>
            </w: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5AC2" w:rsidRPr="00AB5AC2" w:rsidTr="00AB5A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Do00" w:eastAsia="Times New Roman" w:hAnsi="TT1Do00" w:cs="Times New Roman"/>
                <w:color w:val="000000"/>
                <w:sz w:val="20"/>
                <w:szCs w:val="20"/>
                <w:lang w:eastAsia="hr-HR"/>
              </w:rPr>
              <w:t>RAZVIJENOST</w:t>
            </w:r>
            <w:r w:rsidRPr="00AB5AC2">
              <w:rPr>
                <w:rFonts w:ascii="TT1Do00" w:eastAsia="Times New Roman" w:hAnsi="TT1Do00" w:cs="Times New Roman"/>
                <w:color w:val="000000"/>
                <w:sz w:val="20"/>
                <w:szCs w:val="20"/>
                <w:lang w:eastAsia="hr-HR"/>
              </w:rPr>
              <w:br/>
              <w:t>RJEČNIKA</w:t>
            </w: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5AC2" w:rsidRPr="00AB5AC2" w:rsidTr="00AB5A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Do00" w:eastAsia="Times New Roman" w:hAnsi="TT1Do00" w:cs="Times New Roman"/>
                <w:color w:val="000000"/>
                <w:sz w:val="20"/>
                <w:szCs w:val="20"/>
                <w:lang w:eastAsia="hr-HR"/>
              </w:rPr>
              <w:t>IZRAŽ. STAND.</w:t>
            </w:r>
            <w:r w:rsidRPr="00AB5AC2">
              <w:rPr>
                <w:rFonts w:ascii="TT1Do00" w:eastAsia="Times New Roman" w:hAnsi="TT1Do00" w:cs="Times New Roman"/>
                <w:color w:val="000000"/>
                <w:sz w:val="20"/>
                <w:szCs w:val="20"/>
                <w:lang w:eastAsia="hr-HR"/>
              </w:rPr>
              <w:br/>
              <w:t>JEZIKOM</w:t>
            </w: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5AC2" w:rsidRPr="00AB5AC2" w:rsidTr="00AB5A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AC2">
              <w:rPr>
                <w:rFonts w:ascii="TT14o00" w:eastAsia="Times New Roman" w:hAnsi="TT14o00" w:cs="Times New Roman"/>
                <w:color w:val="00000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B5AC2" w:rsidRPr="00AB5AC2" w:rsidRDefault="00AB5AC2" w:rsidP="00AB5AC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B5AC2" w:rsidRDefault="00AB5AC2" w:rsidP="00AB5AC2">
      <w:pPr>
        <w:spacing w:after="0" w:line="360" w:lineRule="auto"/>
        <w:rPr>
          <w:rFonts w:ascii="TT15o00" w:eastAsia="Times New Roman" w:hAnsi="TT15o00" w:cs="Times New Roman"/>
          <w:color w:val="FF0000"/>
          <w:sz w:val="24"/>
          <w:szCs w:val="24"/>
          <w:lang w:eastAsia="hr-HR"/>
        </w:rPr>
      </w:pPr>
      <w:r w:rsidRPr="00AB5AC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B5AC2">
        <w:rPr>
          <w:rFonts w:ascii="TT1Eo00" w:eastAsia="Times New Roman" w:hAnsi="TT1Eo00" w:cs="Times New Roman"/>
          <w:color w:val="000000"/>
          <w:lang w:eastAsia="hr-HR"/>
        </w:rPr>
        <w:t>dovoljan (8 – 9), dobar (10 – 11), vrlo dobar (12 – 13), odličan (14 – 15)</w:t>
      </w:r>
      <w:r w:rsidRPr="00AB5AC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AB5AC2" w:rsidRPr="00AB5AC2" w:rsidRDefault="00AB5AC2" w:rsidP="00AB5A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5AC2">
        <w:rPr>
          <w:rFonts w:ascii="TT15o00" w:eastAsia="Times New Roman" w:hAnsi="TT15o00" w:cs="Times New Roman"/>
          <w:color w:val="FF0000"/>
          <w:sz w:val="24"/>
          <w:szCs w:val="24"/>
          <w:lang w:eastAsia="hr-HR"/>
        </w:rPr>
        <w:t>KRITERIJI OCJENJIVANJA PISANIH RADOVA</w:t>
      </w:r>
      <w:r w:rsidRPr="00AB5AC2">
        <w:rPr>
          <w:rFonts w:ascii="TT15o00" w:eastAsia="Times New Roman" w:hAnsi="TT15o00" w:cs="Times New Roman"/>
          <w:color w:val="FF0000"/>
          <w:sz w:val="24"/>
          <w:szCs w:val="24"/>
          <w:lang w:eastAsia="hr-HR"/>
        </w:rPr>
        <w:br/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Pisani radovi su: školske i domaće zadaće različitih žanrova zadanih nastavnim planom i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 xml:space="preserve">programom (sastavci, zadaće vezane za lektire, plakati, </w:t>
      </w:r>
      <w:proofErr w:type="spellStart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slikokazi</w:t>
      </w:r>
      <w:proofErr w:type="spellEnd"/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, rasprave, problemski članci,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sažetci, dnevnici, dramatizacije itd.).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  <w:r w:rsidRPr="00AB5AC2">
        <w:rPr>
          <w:rFonts w:ascii="TT15o00" w:eastAsia="Times New Roman" w:hAnsi="TT15o00" w:cs="Times New Roman"/>
          <w:color w:val="000000"/>
          <w:sz w:val="24"/>
          <w:szCs w:val="24"/>
          <w:lang w:eastAsia="hr-HR"/>
        </w:rPr>
        <w:t xml:space="preserve">Školska zadaća 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je prethodno najavljena i planirana pisana provjera znanja i vještina na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zadanu temu. Školska se zadaća vrjednuje pa ocjenjuje. Vrjednuju se: ostvarenost teme,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kompozicija sastavka, ostvarenost žanra, originalnost, povezanost rečenica, bogatstvo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rječnika i stila, gramatička i pravopisna točnost, čitljivost i urednost, razvidna struktura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teksta.</w:t>
      </w:r>
    </w:p>
    <w:p w:rsidR="00CE5A8F" w:rsidRDefault="00AB5AC2" w:rsidP="00AB5AC2">
      <w:pPr>
        <w:spacing w:line="360" w:lineRule="auto"/>
      </w:pPr>
      <w:r>
        <w:rPr>
          <w:noProof/>
          <w:lang w:eastAsia="hr-HR"/>
        </w:rPr>
        <w:lastRenderedPageBreak/>
        <w:drawing>
          <wp:inline distT="0" distB="0" distL="0" distR="0" wp14:anchorId="154AADDD" wp14:editId="6CFCBD31">
            <wp:extent cx="5760720" cy="642487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004" t="10452" r="32946" b="24011"/>
                    <a:stretch/>
                  </pic:blipFill>
                  <pic:spPr bwMode="auto">
                    <a:xfrm>
                      <a:off x="0" y="0"/>
                      <a:ext cx="5760720" cy="6424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5AC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Ostali se pisani radovi mogu vrjednovati kao i školska zadaća. Ukoliko to nije najavljeno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učenicima, vrjednuje se i ocjenjuje prema ovim mjerilima: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  <w:r w:rsidRPr="00AB5AC2">
        <w:rPr>
          <w:rFonts w:ascii="TT15o00" w:eastAsia="Times New Roman" w:hAnsi="TT15o00" w:cs="Times New Roman"/>
          <w:color w:val="000000"/>
          <w:sz w:val="24"/>
          <w:szCs w:val="24"/>
          <w:lang w:eastAsia="hr-HR"/>
        </w:rPr>
        <w:t xml:space="preserve">Dovoljan 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– učenik slabo poznaje i primjenjuje jezična pravila. Ima siromašan rječnik. Ponekad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rabi elemente zavičajnoga govora/mjesnoga ili nekoga drugog idioma. Tekst ima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nerazumljivu i nesređenu sintaksu, a tema je ostvarena djelomično.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  <w:r w:rsidRPr="00AB5AC2">
        <w:rPr>
          <w:rFonts w:ascii="TT15o00" w:eastAsia="Times New Roman" w:hAnsi="TT15o00" w:cs="Times New Roman"/>
          <w:color w:val="000000"/>
          <w:sz w:val="24"/>
          <w:szCs w:val="24"/>
          <w:lang w:eastAsia="hr-HR"/>
        </w:rPr>
        <w:t xml:space="preserve">Dobar 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– učenik osrednje poznaje i primjenjuje gramatičko-pravopisnu normu, izražava misli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u smislene i razumljive rečenice, ima prosječan rječnik i teži jednostavnom izrazu. Skromno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rabi izražajna sredstva.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  <w:r w:rsidRPr="00AB5AC2">
        <w:rPr>
          <w:rFonts w:ascii="TT15o00" w:eastAsia="Times New Roman" w:hAnsi="TT15o00" w:cs="Times New Roman"/>
          <w:color w:val="000000"/>
          <w:sz w:val="24"/>
          <w:szCs w:val="24"/>
          <w:lang w:eastAsia="hr-HR"/>
        </w:rPr>
        <w:lastRenderedPageBreak/>
        <w:t xml:space="preserve">Vrlo dobar 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– učenik uglavnom uspješno provodi pravopisna i gramatička znanja u pisanju.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Rječnik je slikovit i bogat.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</w:r>
      <w:r w:rsidRPr="00AB5AC2">
        <w:rPr>
          <w:rFonts w:ascii="TT15o00" w:eastAsia="Times New Roman" w:hAnsi="TT15o00" w:cs="Times New Roman"/>
          <w:color w:val="000000"/>
          <w:sz w:val="24"/>
          <w:szCs w:val="24"/>
          <w:lang w:eastAsia="hr-HR"/>
        </w:rPr>
        <w:t xml:space="preserve">Odličan 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t>– učenik je kreativan, maštovit i ima bogat rječnik; izražava se originalno u</w:t>
      </w:r>
      <w:r w:rsidRPr="00AB5AC2">
        <w:rPr>
          <w:rFonts w:ascii="TT14o00" w:eastAsia="Times New Roman" w:hAnsi="TT14o00" w:cs="Times New Roman"/>
          <w:color w:val="000000"/>
          <w:sz w:val="24"/>
          <w:szCs w:val="24"/>
          <w:lang w:eastAsia="hr-HR"/>
        </w:rPr>
        <w:br/>
        <w:t>vlastitomu izrazu uz dopuštenu pokoju jezičnu pogrješku.</w:t>
      </w:r>
    </w:p>
    <w:sectPr w:rsidR="00CE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T14o00">
    <w:altName w:val="Times New Roman"/>
    <w:panose1 w:val="00000000000000000000"/>
    <w:charset w:val="00"/>
    <w:family w:val="roman"/>
    <w:notTrueType/>
    <w:pitch w:val="default"/>
  </w:font>
  <w:font w:name="TT12o00">
    <w:altName w:val="Times New Roman"/>
    <w:panose1 w:val="00000000000000000000"/>
    <w:charset w:val="00"/>
    <w:family w:val="roman"/>
    <w:notTrueType/>
    <w:pitch w:val="default"/>
  </w:font>
  <w:font w:name="TT15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T19o00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T1Do00">
    <w:altName w:val="Times New Roman"/>
    <w:panose1 w:val="00000000000000000000"/>
    <w:charset w:val="00"/>
    <w:family w:val="roman"/>
    <w:notTrueType/>
    <w:pitch w:val="default"/>
  </w:font>
  <w:font w:name="TT1Eo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3D6B"/>
    <w:multiLevelType w:val="hybridMultilevel"/>
    <w:tmpl w:val="D262A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109C6"/>
    <w:multiLevelType w:val="hybridMultilevel"/>
    <w:tmpl w:val="CECAB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C07A5"/>
    <w:multiLevelType w:val="hybridMultilevel"/>
    <w:tmpl w:val="CED67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D587A"/>
    <w:multiLevelType w:val="hybridMultilevel"/>
    <w:tmpl w:val="EE3C2E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C2"/>
    <w:rsid w:val="00AB5AC2"/>
    <w:rsid w:val="00CE5A8F"/>
    <w:rsid w:val="00F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635E2-8385-4FCD-B6AA-B86A5689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2019-09-25T10:43:00Z</dcterms:created>
  <dcterms:modified xsi:type="dcterms:W3CDTF">2019-09-25T11:01:00Z</dcterms:modified>
</cp:coreProperties>
</file>