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1005b69c0470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13375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TRSTENIK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928.634,98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955.478,68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923.919,45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1.084.322,95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128.844,27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2.775,44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3.715,11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132.559,38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poslovanja u izvještajnom razdoblju iznose 955.478,68 EUR, a rashodi poslovanja 1.084.322,95 EUR. Manjak prihoda poslovanja nastao je zbog knjiženja obračuna plaće za lipanj koja će biti isplaćena u srpnju 2025.
Ukupni prihodi od prodaje nefinancijske imovine iznose 87,54 EUR, a rashodi za nabavu nefinancijske imovine 3.802,65 EUR. Manjak prihoda od nefinancijske imovine nastao je zbog nabavke opreme za školu.
Manjak prihoda i primitaka u iznosu od 132.559,38 EUR pokrit će se u sljedećem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 obveza na kraju izvještajnog razdoblja.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24010fd6a541d0" /></Relationships>
</file>