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aa7190daf4ab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TRSTENIK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1.936.868,44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1.920.968,28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1.892.128,92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2.042.374,44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121.406,16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37.438,01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29.404,56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37.262,93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29.229,48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150.635,64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u izvještajnom razdoblju iznose 1.920.968,28 EUR, a rashodi poslovanja 2.042.374,44 EUR. Manjak prihoda poslovanja nastao je zbog knjiženja obračuna plaće za prosinac koja će biti isplaćena u siječnju 2026. Ukupni prihodi od prodaje nefinancijske imovine iznose 175,08 EUR, a rashodi za nabavu nefinancijske imovine 29.404,56 EUR. Manjak prihoda od nefinancijske imovine nastao je zbog nabavke opreme za školu. Manjak prihoda i primitaka u iznosu od 150.635,64 EUR pokrit će se u sljedećem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cdf48cb194731" /></Relationships>
</file>