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a800582ad4a0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13375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TRSTENIK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955.478,68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988.043,30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1.084.322,95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950.412,09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37.631,21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3.802,65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OD NEFINANCIJSKE IMOVINE (šifre 7-4)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76,33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37.707,54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poslovanja u izvještajnom razdoblju iznose 988.043,30 EUR, a rashodi poslovanja 950.412,09 EUR. Ukupni prihodi od prodaje nefinancijske imovine iznose 87,54 EUR, a rashodi za nabavu nefinancijske imovine 11,21 EUR. Višak prihoda i primiaka iznosi 37.707,54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10.205,83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iznosi 10.205,83 EUR.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46c49d062e4a64" /></Relationships>
</file>